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r>
        <w:pict>
          <v:shape id="_x0000_s1026" o:spid="_x0000_s1026" o:spt="136" type="#_x0000_t136" style="position:absolute;left:0pt;margin-left:0pt;margin-top:7.8pt;height:62.4pt;width:432pt;mso-position-horizontal-relative:margin;z-index:251657216;mso-width-relative:page;mso-height-relative:page;" fillcolor="#FF0000" filled="t" stroked="t" coordsize="21600,21600">
            <v:path/>
            <v:fill on="t" focussize="0,0"/>
            <v:stroke color="#FF0000"/>
            <v:imagedata o:title=""/>
            <o:lock v:ext="edit"/>
            <v:textpath on="t" fitshape="t" fitpath="t" trim="t" xscale="f" string="贵州大学烟草学院文件" style="font-family:新宋体;font-size:40pt;font-weight:bold;v-text-align:center;"/>
          </v:shape>
        </w:pict>
      </w:r>
    </w:p>
    <w:p/>
    <w:p/>
    <w:p/>
    <w:p/>
    <w:p>
      <w:pPr>
        <w:jc w:val="center"/>
        <w:rPr>
          <w:rFonts w:ascii="仿宋" w:hAnsi="仿宋" w:eastAsia="仿宋"/>
          <w:sz w:val="32"/>
          <w:szCs w:val="32"/>
        </w:rPr>
      </w:pPr>
      <w:r>
        <w:rPr>
          <w:rFonts w:hint="eastAsia" w:eastAsia="仿宋_GB2312"/>
          <w:bCs/>
          <w:sz w:val="32"/>
          <w:szCs w:val="32"/>
        </w:rPr>
        <w:t>院</w:t>
      </w:r>
      <w:r>
        <w:rPr>
          <w:rFonts w:eastAsia="仿宋_GB2312"/>
          <w:bCs/>
          <w:sz w:val="32"/>
          <w:szCs w:val="32"/>
        </w:rPr>
        <w:t>发</w:t>
      </w:r>
      <w:r>
        <w:rPr>
          <w:rFonts w:hint="eastAsia" w:eastAsia="仿宋_GB2312"/>
          <w:bCs/>
          <w:sz w:val="32"/>
          <w:szCs w:val="32"/>
          <w:lang w:val="en-US" w:eastAsia="zh-CN"/>
        </w:rPr>
        <w:t>[</w:t>
      </w:r>
      <w:r>
        <w:rPr>
          <w:rFonts w:eastAsia="仿宋_GB2312"/>
          <w:bCs/>
          <w:sz w:val="32"/>
          <w:szCs w:val="32"/>
        </w:rPr>
        <w:t>20</w:t>
      </w:r>
      <w:r>
        <w:rPr>
          <w:rFonts w:hint="eastAsia" w:eastAsia="仿宋_GB2312"/>
          <w:bCs/>
          <w:sz w:val="32"/>
          <w:szCs w:val="32"/>
          <w:lang w:val="en-US" w:eastAsia="zh-CN"/>
        </w:rPr>
        <w:t>20] 12</w:t>
      </w:r>
      <w:r>
        <w:rPr>
          <w:rFonts w:eastAsia="仿宋_GB2312"/>
          <w:bCs/>
          <w:sz w:val="32"/>
          <w:szCs w:val="32"/>
        </w:rPr>
        <w:t>号</w:t>
      </w:r>
    </w:p>
    <w:p>
      <w:r>
        <mc:AlternateContent>
          <mc:Choice Requires="wps">
            <w:drawing>
              <wp:anchor distT="0" distB="0" distL="114300" distR="114300" simplePos="0" relativeHeight="251658240" behindDoc="0" locked="0" layoutInCell="1" allowOverlap="1">
                <wp:simplePos x="0" y="0"/>
                <wp:positionH relativeFrom="column">
                  <wp:posOffset>-76200</wp:posOffset>
                </wp:positionH>
                <wp:positionV relativeFrom="paragraph">
                  <wp:posOffset>99060</wp:posOffset>
                </wp:positionV>
                <wp:extent cx="5562600" cy="0"/>
                <wp:effectExtent l="0" t="15875" r="0" b="45085"/>
                <wp:wrapNone/>
                <wp:docPr id="1" name="直接连接符 1"/>
                <wp:cNvGraphicFramePr/>
                <a:graphic xmlns:a="http://schemas.openxmlformats.org/drawingml/2006/main">
                  <a:graphicData uri="http://schemas.microsoft.com/office/word/2010/wordprocessingShape">
                    <wps:wsp>
                      <wps:cNvCnPr/>
                      <wps:spPr>
                        <a:xfrm>
                          <a:off x="0" y="0"/>
                          <a:ext cx="5562600" cy="0"/>
                        </a:xfrm>
                        <a:prstGeom prst="line">
                          <a:avLst/>
                        </a:prstGeom>
                        <a:ln w="635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pt;margin-top:7.8pt;height:0pt;width:438pt;z-index:251658240;mso-width-relative:page;mso-height-relative:page;" filled="f" stroked="t" coordsize="21600,21600" o:gfxdata="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ASyr0rTAAAACQEAAA8AAAAA&#10;AAAAAQAgAAAAIgAAAGRycy9kb3ducmV2LnhtbFBLAQIUABQAAAAIAIdO4kD2p5sy4AEAAKUDAAAO&#10;AAAAAAAAAAEAIAAAACIBAABkcnMvZTJvRG9jLnhtbFBLBQYAAAAABgAGAFkBAAB0BQAAAAA=&#10;">
                <v:fill on="f" focussize="0,0"/>
                <v:stroke weight="5pt" color="#FF0000" joinstyle="round"/>
                <v:imagedata o:title=""/>
                <o:lock v:ext="edit" aspectratio="f"/>
              </v:line>
            </w:pict>
          </mc:Fallback>
        </mc:AlternateContent>
      </w:r>
    </w:p>
    <w:p/>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贵州大学烟草学院硕士</w:t>
      </w:r>
      <w:r>
        <w:rPr>
          <w:rFonts w:hint="eastAsia" w:ascii="方正小标宋简体" w:hAnsi="方正小标宋简体" w:eastAsia="方正小标宋简体" w:cs="方正小标宋简体"/>
          <w:b w:val="0"/>
          <w:bCs w:val="0"/>
          <w:sz w:val="44"/>
          <w:szCs w:val="44"/>
          <w:lang w:val="en-US" w:eastAsia="zh-CN"/>
        </w:rPr>
        <w:t>研究</w:t>
      </w:r>
      <w:r>
        <w:rPr>
          <w:rFonts w:hint="eastAsia" w:ascii="方正小标宋简体" w:hAnsi="方正小标宋简体" w:eastAsia="方正小标宋简体" w:cs="方正小标宋简体"/>
          <w:b w:val="0"/>
          <w:bCs w:val="0"/>
          <w:sz w:val="44"/>
          <w:szCs w:val="44"/>
        </w:rPr>
        <w:t>生导师</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招生资格年度审核</w:t>
      </w:r>
      <w:r>
        <w:rPr>
          <w:rFonts w:hint="eastAsia" w:ascii="方正小标宋简体" w:hAnsi="方正小标宋简体" w:eastAsia="方正小标宋简体" w:cs="方正小标宋简体"/>
          <w:b w:val="0"/>
          <w:bCs w:val="0"/>
          <w:sz w:val="44"/>
          <w:szCs w:val="44"/>
          <w:lang w:val="en-US" w:eastAsia="zh-CN"/>
        </w:rPr>
        <w:t>管理办法</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kinsoku/>
        <w:wordWrap/>
        <w:overflowPunct/>
        <w:topLinePunct w:val="0"/>
        <w:autoSpaceDE/>
        <w:autoSpaceDN/>
        <w:bidi w:val="0"/>
        <w:adjustRightInd/>
        <w:snapToGrid/>
        <w:spacing w:before="156" w:beforeLines="50"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为加强我院</w:t>
      </w:r>
      <w:r>
        <w:rPr>
          <w:rFonts w:hint="eastAsia" w:ascii="仿宋_GB2312" w:hAnsi="仿宋_GB2312" w:eastAsia="仿宋_GB2312" w:cs="仿宋_GB2312"/>
          <w:color w:val="000000"/>
          <w:sz w:val="32"/>
          <w:szCs w:val="32"/>
          <w:lang w:val="en-US" w:eastAsia="zh-CN"/>
        </w:rPr>
        <w:t>硕士</w:t>
      </w:r>
      <w:r>
        <w:rPr>
          <w:rFonts w:hint="eastAsia" w:ascii="仿宋_GB2312" w:hAnsi="仿宋_GB2312" w:eastAsia="仿宋_GB2312" w:cs="仿宋_GB2312"/>
          <w:color w:val="000000"/>
          <w:sz w:val="32"/>
          <w:szCs w:val="32"/>
        </w:rPr>
        <w:t>研究生指导教师（以下简称“导师”）队伍的建设和管理，提高研究生培养质量，学院决定全面贯彻和推进学校研究生导师招生资格年审工作，落实研究生导师由身份管理转变为岗位管理的通知要求，实施研究生导师招生资格年审制。经学院研究，制定贵州大学烟草学院</w:t>
      </w:r>
      <w:r>
        <w:rPr>
          <w:rFonts w:hint="eastAsia" w:ascii="仿宋_GB2312" w:hAnsi="仿宋_GB2312" w:eastAsia="仿宋_GB2312" w:cs="仿宋_GB2312"/>
          <w:color w:val="000000"/>
          <w:sz w:val="32"/>
          <w:szCs w:val="32"/>
          <w:lang w:val="en-US" w:eastAsia="zh-CN"/>
        </w:rPr>
        <w:t>硕士</w:t>
      </w:r>
      <w:r>
        <w:rPr>
          <w:rFonts w:hint="eastAsia" w:ascii="仿宋_GB2312" w:hAnsi="仿宋_GB2312" w:eastAsia="仿宋_GB2312" w:cs="仿宋_GB2312"/>
          <w:color w:val="000000"/>
          <w:sz w:val="32"/>
          <w:szCs w:val="32"/>
        </w:rPr>
        <w:t>研究生导师年度审核</w:t>
      </w:r>
      <w:r>
        <w:rPr>
          <w:rFonts w:hint="eastAsia" w:ascii="仿宋_GB2312" w:hAnsi="仿宋_GB2312" w:eastAsia="仿宋_GB2312" w:cs="仿宋_GB2312"/>
          <w:color w:val="000000"/>
          <w:sz w:val="32"/>
          <w:szCs w:val="32"/>
          <w:lang w:val="en-US" w:eastAsia="zh-CN"/>
        </w:rPr>
        <w:t>管理办法</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一、基本</w:t>
      </w:r>
      <w:r>
        <w:rPr>
          <w:rFonts w:hint="eastAsia" w:ascii="黑体" w:hAnsi="黑体" w:eastAsia="黑体" w:cs="黑体"/>
          <w:color w:val="000000"/>
          <w:sz w:val="32"/>
          <w:szCs w:val="32"/>
          <w:lang w:val="en-US" w:eastAsia="zh-CN"/>
        </w:rPr>
        <w:t>条件</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为人师表，恪守学术道德和师德规范；</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身体健康，能胜任研究生指导工作</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年龄一般不超过57岁</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具有副教授以上(包括副教授)或相当职称的专业技术人员，一般应具有与所申请的相关专业的硕士学位及以上学位，教授</w:t>
      </w: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rPr>
        <w:t>相当</w:t>
      </w:r>
      <w:r>
        <w:rPr>
          <w:rFonts w:hint="eastAsia" w:ascii="仿宋_GB2312" w:hAnsi="仿宋_GB2312" w:eastAsia="仿宋_GB2312" w:cs="仿宋_GB2312"/>
          <w:sz w:val="32"/>
          <w:szCs w:val="32"/>
          <w:lang w:val="en-US" w:eastAsia="zh-CN"/>
        </w:rPr>
        <w:t>职称</w:t>
      </w:r>
      <w:r>
        <w:rPr>
          <w:rFonts w:hint="eastAsia" w:ascii="仿宋_GB2312" w:hAnsi="仿宋_GB2312" w:eastAsia="仿宋_GB2312" w:cs="仿宋_GB2312"/>
          <w:sz w:val="32"/>
          <w:szCs w:val="32"/>
        </w:rPr>
        <w:t>的专业技术人员不受硕士学位限制；</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首次申请者，申请的学位点须与专业技术聘用岗位一致；其聘用岗位暂无二级学科硕士点方向的，可申请专业技术聘用岗位所在一级学科的其他二级硕士点方向；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具备开设1-2门本专业硕士学位课程的能力，具有本学科坚实的基础理论及专业知识，有</w:t>
      </w:r>
      <w:r>
        <w:rPr>
          <w:rFonts w:hint="eastAsia" w:ascii="仿宋_GB2312" w:hAnsi="仿宋_GB2312" w:eastAsia="仿宋_GB2312" w:cs="仿宋_GB2312"/>
          <w:sz w:val="32"/>
          <w:szCs w:val="32"/>
          <w:lang w:val="en-US" w:eastAsia="zh-CN"/>
        </w:rPr>
        <w:t>明确</w:t>
      </w:r>
      <w:r>
        <w:rPr>
          <w:rFonts w:hint="eastAsia" w:ascii="仿宋_GB2312" w:hAnsi="仿宋_GB2312" w:eastAsia="仿宋_GB2312" w:cs="仿宋_GB2312"/>
          <w:sz w:val="32"/>
          <w:szCs w:val="32"/>
        </w:rPr>
        <w:t>的科研方向，能独立指导硕士研究生的学位论文；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近三年主持省级（含省级）以上科研项目</w:t>
      </w: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rPr>
        <w:t>烟草行业科技项目1项。年均科研经费3.0万元以上或年均横向科研研发经费5.0万元以上，并在所申请的学科专业内取得以下科研、学术及教学业绩之一：</w:t>
      </w:r>
    </w:p>
    <w:p>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（1）以第一作者/通讯作者发表具有较高水平的学术论文3篇以上，其中至少1篇发表在</w:t>
      </w:r>
      <w:r>
        <w:rPr>
          <w:rFonts w:hint="eastAsia" w:ascii="仿宋_GB2312" w:hAnsi="仿宋_GB2312" w:eastAsia="仿宋_GB2312" w:cs="仿宋_GB2312"/>
          <w:sz w:val="32"/>
          <w:szCs w:val="32"/>
          <w:lang w:val="en-US" w:eastAsia="zh-CN"/>
        </w:rPr>
        <w:t>贵州大学国内</w:t>
      </w:r>
      <w:r>
        <w:rPr>
          <w:rFonts w:hint="eastAsia" w:ascii="仿宋_GB2312" w:hAnsi="仿宋_GB2312" w:eastAsia="仿宋_GB2312" w:cs="仿宋_GB2312"/>
          <w:sz w:val="32"/>
          <w:szCs w:val="32"/>
        </w:rPr>
        <w:t>一级</w:t>
      </w:r>
      <w:r>
        <w:rPr>
          <w:rFonts w:hint="eastAsia" w:ascii="仿宋_GB2312" w:hAnsi="仿宋_GB2312" w:eastAsia="仿宋_GB2312" w:cs="仿宋_GB2312"/>
          <w:sz w:val="32"/>
          <w:szCs w:val="32"/>
          <w:lang w:val="en-US" w:eastAsia="zh-CN"/>
        </w:rPr>
        <w:t>学术</w:t>
      </w:r>
      <w:r>
        <w:rPr>
          <w:rFonts w:hint="eastAsia" w:ascii="仿宋_GB2312" w:hAnsi="仿宋_GB2312" w:eastAsia="仿宋_GB2312" w:cs="仿宋_GB2312"/>
          <w:sz w:val="32"/>
          <w:szCs w:val="32"/>
        </w:rPr>
        <w:t>期刊</w:t>
      </w:r>
      <w:r>
        <w:rPr>
          <w:rFonts w:hint="eastAsia" w:ascii="仿宋_GB2312" w:hAnsi="仿宋_GB2312" w:eastAsia="仿宋_GB2312" w:cs="仿宋_GB2312"/>
          <w:sz w:val="32"/>
          <w:szCs w:val="32"/>
          <w:lang w:val="en-US" w:eastAsia="zh-CN"/>
        </w:rPr>
        <w:t>及以上</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（2）独立或以第一作者身份出版专著（含译著、教材）1部以上(不少于15万字)，同时作为第一作者/通讯作者在</w:t>
      </w:r>
      <w:r>
        <w:rPr>
          <w:rFonts w:hint="eastAsia" w:ascii="仿宋_GB2312" w:hAnsi="仿宋_GB2312" w:eastAsia="仿宋_GB2312" w:cs="仿宋_GB2312"/>
          <w:sz w:val="32"/>
          <w:szCs w:val="32"/>
          <w:lang w:val="en-US" w:eastAsia="zh-CN"/>
        </w:rPr>
        <w:t>SCD</w:t>
      </w:r>
      <w:r>
        <w:rPr>
          <w:rFonts w:hint="eastAsia" w:ascii="仿宋_GB2312" w:hAnsi="仿宋_GB2312" w:eastAsia="仿宋_GB2312" w:cs="仿宋_GB2312"/>
          <w:sz w:val="32"/>
          <w:szCs w:val="32"/>
        </w:rPr>
        <w:t>期刊</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上发表学术论文1篇（含1篇）以上；</w:t>
      </w:r>
    </w:p>
    <w:p>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（3）主持国家自然科学基金或国家级科研课题或国家级工程项目或省级科研课题1项，同时作为第一作者/通讯作者在</w:t>
      </w:r>
      <w:r>
        <w:rPr>
          <w:rFonts w:hint="eastAsia" w:ascii="仿宋_GB2312" w:hAnsi="仿宋_GB2312" w:eastAsia="仿宋_GB2312" w:cs="仿宋_GB2312"/>
          <w:sz w:val="32"/>
          <w:szCs w:val="32"/>
          <w:lang w:val="en-US" w:eastAsia="zh-CN"/>
        </w:rPr>
        <w:t>SCD</w:t>
      </w:r>
      <w:r>
        <w:rPr>
          <w:rFonts w:hint="eastAsia" w:ascii="仿宋_GB2312" w:hAnsi="仿宋_GB2312" w:eastAsia="仿宋_GB2312" w:cs="仿宋_GB2312"/>
          <w:sz w:val="32"/>
          <w:szCs w:val="32"/>
        </w:rPr>
        <w:t>期刊</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上发表学术论文</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篇（含</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篇）以上；</w:t>
      </w:r>
    </w:p>
    <w:p>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（4）获国家级、省部级科研成果奖或获省部级优秀教学成果奖(一等奖排名须在前五，二等奖排名须在前四，三等奖排名须在前三)，同时作为第一作者/通讯作者在</w:t>
      </w:r>
      <w:r>
        <w:rPr>
          <w:rFonts w:hint="eastAsia" w:ascii="仿宋_GB2312" w:hAnsi="仿宋_GB2312" w:eastAsia="仿宋_GB2312" w:cs="仿宋_GB2312"/>
          <w:sz w:val="32"/>
          <w:szCs w:val="32"/>
          <w:lang w:val="en-US" w:eastAsia="zh-CN"/>
        </w:rPr>
        <w:t>SCD</w:t>
      </w:r>
      <w:r>
        <w:rPr>
          <w:rFonts w:hint="eastAsia" w:ascii="仿宋_GB2312" w:hAnsi="仿宋_GB2312" w:eastAsia="仿宋_GB2312" w:cs="仿宋_GB2312"/>
          <w:sz w:val="32"/>
          <w:szCs w:val="32"/>
        </w:rPr>
        <w:t>期刊</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上发表学术论文</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篇（含</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篇）以上；</w:t>
      </w:r>
    </w:p>
    <w:p>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（5）育成通过审定的作物品种1个（国家级审定育成人排名前三，省级审定育成人排名前二），同时作为第一作者/通讯作者在</w:t>
      </w:r>
      <w:r>
        <w:rPr>
          <w:rFonts w:hint="eastAsia" w:ascii="仿宋_GB2312" w:hAnsi="仿宋_GB2312" w:eastAsia="仿宋_GB2312" w:cs="仿宋_GB2312"/>
          <w:sz w:val="32"/>
          <w:szCs w:val="32"/>
          <w:lang w:val="en-US" w:eastAsia="zh-CN"/>
        </w:rPr>
        <w:t>SCD</w:t>
      </w:r>
      <w:r>
        <w:rPr>
          <w:rFonts w:hint="eastAsia" w:ascii="仿宋_GB2312" w:hAnsi="仿宋_GB2312" w:eastAsia="仿宋_GB2312" w:cs="仿宋_GB2312"/>
          <w:sz w:val="32"/>
          <w:szCs w:val="32"/>
        </w:rPr>
        <w:t>期刊</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上发表学术论文</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篇（含</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篇）以上；</w:t>
      </w:r>
    </w:p>
    <w:p>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（6）在科技成果转化方面做出重大贡献，取得显著社会、经济效益，并为本单位创纯利15万元以上，经同行专家公认在学术、技术上达到省内领先水平(须报专题材料)，同时作为第一作者/通讯作者在</w:t>
      </w:r>
      <w:r>
        <w:rPr>
          <w:rFonts w:hint="eastAsia" w:ascii="仿宋_GB2312" w:hAnsi="仿宋_GB2312" w:eastAsia="仿宋_GB2312" w:cs="仿宋_GB2312"/>
          <w:sz w:val="32"/>
          <w:szCs w:val="32"/>
          <w:lang w:val="en-US" w:eastAsia="zh-CN"/>
        </w:rPr>
        <w:t>SCD</w:t>
      </w:r>
      <w:r>
        <w:rPr>
          <w:rFonts w:hint="eastAsia" w:ascii="仿宋_GB2312" w:hAnsi="仿宋_GB2312" w:eastAsia="仿宋_GB2312" w:cs="仿宋_GB2312"/>
          <w:sz w:val="32"/>
          <w:szCs w:val="32"/>
        </w:rPr>
        <w:t>期刊</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上发表学术论文1篇（含1篇）以上；</w:t>
      </w:r>
    </w:p>
    <w:p>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（7）获授权的国家发明专利1项(排名第一)，同时作为第一作者/通讯作者在</w:t>
      </w:r>
      <w:r>
        <w:rPr>
          <w:rFonts w:hint="eastAsia" w:ascii="仿宋_GB2312" w:hAnsi="仿宋_GB2312" w:eastAsia="仿宋_GB2312" w:cs="仿宋_GB2312"/>
          <w:sz w:val="32"/>
          <w:szCs w:val="32"/>
          <w:lang w:val="en-US" w:eastAsia="zh-CN"/>
        </w:rPr>
        <w:t>SCD</w:t>
      </w:r>
      <w:r>
        <w:rPr>
          <w:rFonts w:hint="eastAsia" w:ascii="仿宋_GB2312" w:hAnsi="仿宋_GB2312" w:eastAsia="仿宋_GB2312" w:cs="仿宋_GB2312"/>
          <w:sz w:val="32"/>
          <w:szCs w:val="32"/>
        </w:rPr>
        <w:t>期刊</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上发表学术论文1篇（含1篇）以上。</w:t>
      </w:r>
    </w:p>
    <w:p>
      <w:pPr>
        <w:keepNext w:val="0"/>
        <w:keepLines w:val="0"/>
        <w:pageBreakBefore w:val="0"/>
        <w:widowControl w:val="0"/>
        <w:kinsoku/>
        <w:wordWrap/>
        <w:overflowPunct/>
        <w:topLinePunct w:val="0"/>
        <w:autoSpaceDE/>
        <w:autoSpaceDN/>
        <w:bidi w:val="0"/>
        <w:adjustRightInd/>
        <w:snapToGrid/>
        <w:spacing w:before="313" w:beforeLines="100"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rPr>
        <w:t>、</w:t>
      </w:r>
      <w:r>
        <w:rPr>
          <w:rFonts w:hint="eastAsia" w:ascii="黑体" w:hAnsi="黑体" w:eastAsia="黑体" w:cs="黑体"/>
          <w:sz w:val="32"/>
          <w:szCs w:val="32"/>
          <w:lang w:val="en-US" w:eastAsia="zh-CN"/>
        </w:rPr>
        <w:t>审核要求</w:t>
      </w:r>
    </w:p>
    <w:p>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年度审核时间</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工作程序</w:t>
      </w:r>
      <w:r>
        <w:rPr>
          <w:rFonts w:hint="eastAsia" w:ascii="仿宋_GB2312" w:hAnsi="仿宋_GB2312" w:eastAsia="仿宋_GB2312" w:cs="仿宋_GB2312"/>
          <w:sz w:val="32"/>
          <w:szCs w:val="32"/>
          <w:lang w:val="en-US" w:eastAsia="zh-CN"/>
        </w:rPr>
        <w:t>按照学校每年的</w:t>
      </w:r>
      <w:r>
        <w:rPr>
          <w:rFonts w:hint="eastAsia" w:ascii="仿宋_GB2312" w:hAnsi="仿宋_GB2312" w:eastAsia="仿宋_GB2312" w:cs="仿宋_GB2312"/>
          <w:color w:val="000000"/>
          <w:sz w:val="32"/>
          <w:szCs w:val="32"/>
        </w:rPr>
        <w:t>研究生导师招生资格年审</w:t>
      </w:r>
      <w:r>
        <w:rPr>
          <w:rFonts w:hint="eastAsia" w:ascii="仿宋_GB2312" w:hAnsi="仿宋_GB2312" w:eastAsia="仿宋_GB2312" w:cs="仿宋_GB2312"/>
          <w:sz w:val="32"/>
          <w:szCs w:val="32"/>
          <w:lang w:val="en-US" w:eastAsia="zh-CN"/>
        </w:rPr>
        <w:t>文件要求执行；</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申请人如在申请过程中提供虚假信息，一经查实，取消其导师岗位申请资格，5年内不得再申请；</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申请人已在一级学科审核博士生导师通过的，不再需要进行相同一级学科硕士生导师审核；</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申请人已在农学院作物学一级学科点审核硕士生导师通过的，只需填写《贵州大学烟草学院硕士研究生导师招生资格审核表》，不需要提供支撑材料；</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申请人已在烟草学所在一级学科（作物学）以外的其他学科审核通过的，不能在烟草学学位点再申请年度审核；如果需要变更，须有原学位点所在培养单位的书面同意；</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申请人已在一级学科审核学术型导师通过的，不再需要进行相同一级学科</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专业</w:t>
      </w:r>
      <w:r>
        <w:rPr>
          <w:rFonts w:hint="eastAsia" w:ascii="仿宋_GB2312" w:hAnsi="仿宋_GB2312" w:eastAsia="仿宋_GB2312" w:cs="仿宋_GB2312"/>
          <w:sz w:val="32"/>
          <w:szCs w:val="32"/>
          <w:lang w:val="en-US" w:eastAsia="zh-CN"/>
        </w:rPr>
        <w:t>学位</w:t>
      </w:r>
      <w:r>
        <w:rPr>
          <w:rFonts w:hint="eastAsia" w:ascii="仿宋_GB2312" w:hAnsi="仿宋_GB2312" w:eastAsia="仿宋_GB2312" w:cs="仿宋_GB2312"/>
          <w:sz w:val="32"/>
          <w:szCs w:val="32"/>
        </w:rPr>
        <w:t>导师审核；</w:t>
      </w:r>
    </w:p>
    <w:p>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省级烟草公司项目可</w:t>
      </w:r>
      <w:r>
        <w:rPr>
          <w:rFonts w:hint="eastAsia" w:ascii="仿宋_GB2312" w:hAnsi="仿宋_GB2312" w:eastAsia="仿宋_GB2312" w:cs="仿宋_GB2312"/>
          <w:sz w:val="32"/>
          <w:szCs w:val="32"/>
          <w:lang w:val="en-US" w:eastAsia="zh-CN"/>
        </w:rPr>
        <w:t>视为</w:t>
      </w:r>
      <w:r>
        <w:rPr>
          <w:rFonts w:hint="eastAsia" w:ascii="仿宋_GB2312" w:hAnsi="仿宋_GB2312" w:eastAsia="仿宋_GB2312" w:cs="仿宋_GB2312"/>
          <w:sz w:val="32"/>
          <w:szCs w:val="32"/>
        </w:rPr>
        <w:t>省级项目</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指导硕士研究生10届以上的导师，可适当放宽条件，由院学位评定分委员会审定</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9、引进的高层次人才，可随时提交硕士研究生导师招生资格审核申请，由院学位评定分委员会审定。</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right"/>
        <w:textAlignment w:val="auto"/>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ind w:firstLine="320" w:firstLineChars="100"/>
        <w:rPr>
          <w:rFonts w:hint="eastAsia" w:ascii="仿宋_GB2312" w:hAnsi="仿宋_GB2312" w:eastAsia="仿宋_GB2312" w:cs="仿宋_GB2312"/>
          <w:sz w:val="32"/>
          <w:szCs w:val="32"/>
        </w:rPr>
      </w:pPr>
    </w:p>
    <w:p>
      <w:pPr>
        <w:ind w:firstLine="320" w:firstLineChars="1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贵州大学烟草学院</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2020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w:t>
      </w:r>
    </w:p>
    <w:p>
      <w:pPr>
        <w:ind w:firstLine="320" w:firstLineChars="100"/>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p>
    <w:p>
      <w:pPr>
        <w:widowControl/>
        <w:tabs>
          <w:tab w:val="left" w:pos="1204"/>
        </w:tabs>
        <w:snapToGrid w:val="0"/>
        <w:spacing w:line="480" w:lineRule="auto"/>
        <w:jc w:val="left"/>
        <w:rPr>
          <w:rFonts w:ascii="宋体" w:hAnsi="宋体" w:cs="宋体"/>
          <w:kern w:val="0"/>
          <w:sz w:val="24"/>
        </w:rPr>
      </w:pPr>
      <w:bookmarkStart w:id="0" w:name="_GoBack"/>
      <w:bookmarkEnd w:id="0"/>
    </w:p>
    <w:p>
      <w:pPr>
        <w:widowControl/>
        <w:pBdr>
          <w:top w:val="single" w:color="auto" w:sz="6" w:space="0"/>
          <w:bottom w:val="single" w:color="auto" w:sz="6" w:space="1"/>
        </w:pBdr>
        <w:spacing w:line="560" w:lineRule="exact"/>
        <w:jc w:val="left"/>
        <w:rPr>
          <w:rFonts w:ascii="Times New Roman" w:hAnsi="Times New Roman" w:eastAsia="仿宋_GB2312" w:cs="Times New Roman"/>
          <w:spacing w:val="20"/>
          <w:kern w:val="2"/>
          <w:position w:val="4"/>
          <w:sz w:val="28"/>
          <w:szCs w:val="28"/>
          <w:lang w:val="en-US" w:eastAsia="zh-CN" w:bidi="ar-SA"/>
        </w:rPr>
      </w:pPr>
      <w:r>
        <w:rPr>
          <w:rFonts w:eastAsia="仿宋_GB2312"/>
          <w:spacing w:val="20"/>
          <w:position w:val="4"/>
          <w:sz w:val="28"/>
          <w:szCs w:val="28"/>
        </w:rPr>
        <w:t>贵州大学</w:t>
      </w:r>
      <w:r>
        <w:rPr>
          <w:rFonts w:hint="eastAsia" w:eastAsia="仿宋_GB2312"/>
          <w:spacing w:val="20"/>
          <w:position w:val="4"/>
          <w:sz w:val="28"/>
          <w:szCs w:val="28"/>
        </w:rPr>
        <w:t>烟草学院党政办公室</w:t>
      </w:r>
      <w:r>
        <w:rPr>
          <w:rFonts w:eastAsia="仿宋_GB2312"/>
          <w:spacing w:val="20"/>
          <w:position w:val="4"/>
          <w:sz w:val="28"/>
          <w:szCs w:val="28"/>
        </w:rPr>
        <w:t xml:space="preserve">     20</w:t>
      </w:r>
      <w:r>
        <w:rPr>
          <w:rFonts w:hint="eastAsia" w:eastAsia="仿宋_GB2312"/>
          <w:spacing w:val="20"/>
          <w:position w:val="4"/>
          <w:sz w:val="28"/>
          <w:szCs w:val="28"/>
          <w:lang w:val="en-US" w:eastAsia="zh-CN"/>
        </w:rPr>
        <w:t>20</w:t>
      </w:r>
      <w:r>
        <w:rPr>
          <w:rFonts w:eastAsia="仿宋_GB2312"/>
          <w:spacing w:val="20"/>
          <w:position w:val="4"/>
          <w:sz w:val="28"/>
          <w:szCs w:val="28"/>
        </w:rPr>
        <w:t>年</w:t>
      </w:r>
      <w:r>
        <w:rPr>
          <w:rFonts w:hint="eastAsia" w:eastAsia="仿宋_GB2312"/>
          <w:spacing w:val="20"/>
          <w:position w:val="4"/>
          <w:sz w:val="28"/>
          <w:szCs w:val="28"/>
          <w:lang w:val="en-US" w:eastAsia="zh-CN"/>
        </w:rPr>
        <w:t>9</w:t>
      </w:r>
      <w:r>
        <w:rPr>
          <w:rFonts w:eastAsia="仿宋_GB2312"/>
          <w:spacing w:val="20"/>
          <w:position w:val="4"/>
          <w:sz w:val="28"/>
          <w:szCs w:val="28"/>
        </w:rPr>
        <w:t>月</w:t>
      </w:r>
      <w:r>
        <w:rPr>
          <w:rFonts w:hint="eastAsia" w:eastAsia="仿宋_GB2312"/>
          <w:spacing w:val="20"/>
          <w:position w:val="4"/>
          <w:sz w:val="28"/>
          <w:szCs w:val="28"/>
          <w:lang w:val="en-US" w:eastAsia="zh-CN"/>
        </w:rPr>
        <w:t>25日</w:t>
      </w:r>
      <w:r>
        <w:rPr>
          <w:rFonts w:eastAsia="仿宋_GB2312"/>
          <w:spacing w:val="20"/>
          <w:position w:val="4"/>
          <w:sz w:val="28"/>
          <w:szCs w:val="28"/>
        </w:rPr>
        <w:t>印发</w:t>
      </w:r>
    </w:p>
    <w:p>
      <w:pPr>
        <w:jc w:val="left"/>
        <w:rPr>
          <w:rFonts w:ascii="Times New Roman" w:hAnsi="Times New Roman" w:eastAsia="仿宋_GB2312" w:cs="Times New Roman"/>
          <w:spacing w:val="20"/>
          <w:kern w:val="2"/>
          <w:position w:val="4"/>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4F28D0"/>
    <w:rsid w:val="00512081"/>
    <w:rsid w:val="00720B79"/>
    <w:rsid w:val="009B4880"/>
    <w:rsid w:val="02BA2133"/>
    <w:rsid w:val="02BB00C8"/>
    <w:rsid w:val="050A2EA9"/>
    <w:rsid w:val="067F28ED"/>
    <w:rsid w:val="068E3E30"/>
    <w:rsid w:val="0DAE1EAE"/>
    <w:rsid w:val="0FAC0BEF"/>
    <w:rsid w:val="134B2686"/>
    <w:rsid w:val="134F28D0"/>
    <w:rsid w:val="140B1C34"/>
    <w:rsid w:val="155222E1"/>
    <w:rsid w:val="16035C6A"/>
    <w:rsid w:val="19222CC1"/>
    <w:rsid w:val="1A434259"/>
    <w:rsid w:val="1C0E1318"/>
    <w:rsid w:val="20DB0DF9"/>
    <w:rsid w:val="25F67FD4"/>
    <w:rsid w:val="2E09392C"/>
    <w:rsid w:val="2E535431"/>
    <w:rsid w:val="2ECE678D"/>
    <w:rsid w:val="3C593025"/>
    <w:rsid w:val="40E75163"/>
    <w:rsid w:val="42CD650F"/>
    <w:rsid w:val="4F69691D"/>
    <w:rsid w:val="509B083A"/>
    <w:rsid w:val="56170748"/>
    <w:rsid w:val="59B905F1"/>
    <w:rsid w:val="5AA87BAC"/>
    <w:rsid w:val="5BD65206"/>
    <w:rsid w:val="60405256"/>
    <w:rsid w:val="68795D5B"/>
    <w:rsid w:val="6C156938"/>
    <w:rsid w:val="6ECC622F"/>
    <w:rsid w:val="6F34733B"/>
    <w:rsid w:val="76F63CA7"/>
    <w:rsid w:val="78A051A2"/>
    <w:rsid w:val="7A3D6729"/>
    <w:rsid w:val="7DE97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宋体" w:cs="Times New Roman"/>
      <w:kern w:val="2"/>
      <w:sz w:val="18"/>
      <w:szCs w:val="18"/>
    </w:rPr>
  </w:style>
  <w:style w:type="character" w:customStyle="1" w:styleId="7">
    <w:name w:val="页脚 Char"/>
    <w:basedOn w:val="5"/>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38</Words>
  <Characters>217</Characters>
  <Lines>1</Lines>
  <Paragraphs>1</Paragraphs>
  <TotalTime>2</TotalTime>
  <ScaleCrop>false</ScaleCrop>
  <LinksUpToDate>false</LinksUpToDate>
  <CharactersWithSpaces>254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2015-12-08T06:41:00Z</dcterms:created>
  <dc:creator>sanchao</dc:creator>
  <cp:lastModifiedBy>罗星</cp:lastModifiedBy>
  <cp:lastPrinted>2019-09-09T06:09:00Z</cp:lastPrinted>
  <dcterms:modified xsi:type="dcterms:W3CDTF">2020-09-25T07:26:32Z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